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0517" w14:textId="7C1FAAE8" w:rsidR="00015239" w:rsidRPr="007B54D9" w:rsidRDefault="00727D51" w:rsidP="002402E7">
      <w:pPr>
        <w:spacing w:after="48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  <w:r w:rsidRPr="007B54D9">
        <w:rPr>
          <w:rFonts w:cstheme="minorHAnsi"/>
          <w:b/>
          <w:bCs/>
          <w:caps/>
          <w:sz w:val="24"/>
          <w:szCs w:val="24"/>
        </w:rPr>
        <w:t>Informace o přístupu k udržitelnosti v oblasti finančních služeb</w:t>
      </w:r>
    </w:p>
    <w:p w14:paraId="09DD3AE3" w14:textId="46BFA36E" w:rsidR="009F18BE" w:rsidRPr="007B54D9" w:rsidRDefault="00727D51" w:rsidP="002402E7">
      <w:pPr>
        <w:pStyle w:val="Heading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>Úvod</w:t>
      </w:r>
    </w:p>
    <w:p w14:paraId="6DCBCDF4" w14:textId="545CD6C7" w:rsidR="00A519D0" w:rsidRPr="00835EDC" w:rsidRDefault="00201B41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Cílem t</w:t>
      </w:r>
      <w:r w:rsidR="007E167E" w:rsidRPr="007B54D9">
        <w:rPr>
          <w:rFonts w:cstheme="minorHAnsi"/>
          <w:sz w:val="20"/>
          <w:szCs w:val="20"/>
        </w:rPr>
        <w:t xml:space="preserve">ohoto dokumentu je </w:t>
      </w:r>
      <w:r w:rsidR="00A519D0" w:rsidRPr="007B54D9">
        <w:rPr>
          <w:rFonts w:cstheme="minorHAnsi"/>
          <w:sz w:val="20"/>
          <w:szCs w:val="20"/>
        </w:rPr>
        <w:t xml:space="preserve">transparentně informovat zájemce o služby společnosti </w:t>
      </w:r>
      <w:r w:rsidR="007133F6" w:rsidRPr="007133F6">
        <w:rPr>
          <w:rFonts w:cstheme="minorHAnsi"/>
          <w:b/>
          <w:bCs/>
          <w:sz w:val="20"/>
          <w:szCs w:val="20"/>
        </w:rPr>
        <w:t>IMPERIUM FINANCE s.r.o.</w:t>
      </w:r>
      <w:r w:rsidR="007133F6">
        <w:rPr>
          <w:rFonts w:cstheme="minorHAnsi"/>
          <w:sz w:val="20"/>
          <w:szCs w:val="20"/>
        </w:rPr>
        <w:t xml:space="preserve"> </w:t>
      </w:r>
      <w:r w:rsidR="006517CB" w:rsidRPr="00835EDC">
        <w:rPr>
          <w:rFonts w:cstheme="minorHAnsi"/>
          <w:sz w:val="20"/>
          <w:szCs w:val="20"/>
        </w:rPr>
        <w:t>jako investičního zprostředkovatele</w:t>
      </w:r>
      <w:r w:rsidR="00835EDC" w:rsidRPr="00835EDC">
        <w:rPr>
          <w:rFonts w:cstheme="minorHAnsi"/>
          <w:sz w:val="20"/>
          <w:szCs w:val="20"/>
        </w:rPr>
        <w:t xml:space="preserve"> </w:t>
      </w:r>
      <w:r w:rsidR="00A519D0" w:rsidRPr="00835EDC">
        <w:rPr>
          <w:rFonts w:cstheme="minorHAnsi"/>
          <w:sz w:val="20"/>
          <w:szCs w:val="20"/>
        </w:rPr>
        <w:t>(dále jen „</w:t>
      </w:r>
      <w:r w:rsidR="00A519D0" w:rsidRPr="00835EDC">
        <w:rPr>
          <w:rFonts w:cstheme="minorHAnsi"/>
          <w:b/>
          <w:bCs/>
          <w:sz w:val="20"/>
          <w:szCs w:val="20"/>
        </w:rPr>
        <w:t>Společnost</w:t>
      </w:r>
      <w:r w:rsidR="00A519D0" w:rsidRPr="00835EDC">
        <w:rPr>
          <w:rFonts w:cstheme="minorHAnsi"/>
          <w:sz w:val="20"/>
          <w:szCs w:val="20"/>
        </w:rPr>
        <w:t>“) nebo zákazníky Společnosti o přístupu Společnosti k otázkám udržitelnosti v oblasti finančních služeb, a to v souladu s</w:t>
      </w:r>
      <w:r w:rsidR="007B54D9" w:rsidRPr="00835EDC">
        <w:rPr>
          <w:rFonts w:cstheme="minorHAnsi"/>
          <w:sz w:val="20"/>
          <w:szCs w:val="20"/>
        </w:rPr>
        <w:t xml:space="preserve"> nařízením Evropského parlamentu a Rady </w:t>
      </w:r>
      <w:r w:rsidR="00A519D0" w:rsidRPr="00835EDC">
        <w:rPr>
          <w:rFonts w:cstheme="minorHAnsi"/>
          <w:sz w:val="20"/>
          <w:szCs w:val="20"/>
        </w:rPr>
        <w:t>(EU) 2019/2088 ze dne 27. listopadu 2019 o zveřejňování informací souvisejících s udržitelností v odvětví finančních služeb (dále jen „</w:t>
      </w:r>
      <w:r w:rsidR="00A519D0" w:rsidRPr="00835EDC">
        <w:rPr>
          <w:rFonts w:cstheme="minorHAnsi"/>
          <w:b/>
          <w:bCs/>
          <w:sz w:val="20"/>
          <w:szCs w:val="20"/>
        </w:rPr>
        <w:t>Nařízení SFDR</w:t>
      </w:r>
      <w:r w:rsidR="00A519D0" w:rsidRPr="00835EDC">
        <w:rPr>
          <w:rFonts w:cstheme="minorHAnsi"/>
          <w:sz w:val="20"/>
          <w:szCs w:val="20"/>
        </w:rPr>
        <w:t>“)</w:t>
      </w:r>
      <w:r w:rsidR="00AA60E2" w:rsidRPr="00835EDC">
        <w:rPr>
          <w:rFonts w:cstheme="minorHAnsi"/>
          <w:sz w:val="20"/>
          <w:szCs w:val="20"/>
        </w:rPr>
        <w:t>.</w:t>
      </w:r>
    </w:p>
    <w:p w14:paraId="452A131D" w14:textId="22A8B747" w:rsidR="00AA60E2" w:rsidRPr="00835EDC" w:rsidRDefault="00AA60E2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35EDC">
        <w:rPr>
          <w:rFonts w:cstheme="minorHAnsi"/>
          <w:sz w:val="20"/>
          <w:szCs w:val="20"/>
        </w:rPr>
        <w:t>Nařízení SFDR stanoví harmonizovaná pravidla pro účastníky finančního trhu a finanční poradce, jež se týkají transparentnosti, pokud jde o začleňování rizik týkajících se udržitelnosti a zohledňování nepříznivých dopadů na udržitelnost do jejich postupů a o poskytování informací souvisejících s udržitelností ve vztahu k finančním produktům.</w:t>
      </w:r>
    </w:p>
    <w:p w14:paraId="35A04920" w14:textId="10443261" w:rsidR="00AA60E2" w:rsidRPr="007B54D9" w:rsidRDefault="00AA60E2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35EDC">
        <w:rPr>
          <w:rFonts w:cstheme="minorHAnsi"/>
          <w:sz w:val="20"/>
          <w:szCs w:val="20"/>
        </w:rPr>
        <w:t>Společnost je dle definic uvedených v Nařízení SFDR finančním poradcem</w:t>
      </w:r>
      <w:r w:rsidR="006517CB" w:rsidRPr="00835EDC">
        <w:rPr>
          <w:rFonts w:cstheme="minorHAnsi"/>
          <w:sz w:val="20"/>
          <w:szCs w:val="20"/>
        </w:rPr>
        <w:t xml:space="preserve"> (tj. </w:t>
      </w:r>
      <w:r w:rsidR="00B90B8A" w:rsidRPr="00835EDC">
        <w:rPr>
          <w:rFonts w:cstheme="minorHAnsi"/>
          <w:sz w:val="20"/>
          <w:szCs w:val="20"/>
        </w:rPr>
        <w:t xml:space="preserve">poskytovatelem </w:t>
      </w:r>
      <w:r w:rsidR="006517CB" w:rsidRPr="00835EDC">
        <w:rPr>
          <w:rFonts w:cstheme="minorHAnsi"/>
          <w:sz w:val="20"/>
          <w:szCs w:val="20"/>
        </w:rPr>
        <w:t>investiční</w:t>
      </w:r>
      <w:r w:rsidR="00B90B8A" w:rsidRPr="00835EDC">
        <w:rPr>
          <w:rFonts w:cstheme="minorHAnsi"/>
          <w:sz w:val="20"/>
          <w:szCs w:val="20"/>
        </w:rPr>
        <w:t>ho</w:t>
      </w:r>
      <w:r w:rsidR="006517CB" w:rsidRPr="00835EDC">
        <w:rPr>
          <w:rFonts w:cstheme="minorHAnsi"/>
          <w:sz w:val="20"/>
          <w:szCs w:val="20"/>
        </w:rPr>
        <w:t xml:space="preserve"> poradenství)</w:t>
      </w:r>
      <w:r w:rsidRPr="00835EDC">
        <w:rPr>
          <w:rFonts w:cstheme="minorHAnsi"/>
          <w:sz w:val="20"/>
          <w:szCs w:val="20"/>
        </w:rPr>
        <w:t>, a proto na ní určité povinnosti stanovené Nařízením SFDR dopadají.</w:t>
      </w:r>
    </w:p>
    <w:p w14:paraId="06221E87" w14:textId="7C0F3BA2" w:rsidR="009F18BE" w:rsidRPr="007B54D9" w:rsidRDefault="00727D51" w:rsidP="002402E7">
      <w:pPr>
        <w:pStyle w:val="Heading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Výklad </w:t>
      </w:r>
      <w:r w:rsidR="00A05373"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některých </w:t>
      </w: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>pojmů</w:t>
      </w:r>
    </w:p>
    <w:p w14:paraId="04302BB5" w14:textId="77777777" w:rsidR="00A05373" w:rsidRPr="00C543A9" w:rsidRDefault="00AA60E2" w:rsidP="00C543A9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543A9">
        <w:rPr>
          <w:rFonts w:cstheme="minorHAnsi"/>
          <w:sz w:val="20"/>
          <w:szCs w:val="20"/>
        </w:rPr>
        <w:t>„</w:t>
      </w:r>
      <w:r w:rsidRPr="00C543A9">
        <w:rPr>
          <w:rFonts w:cstheme="minorHAnsi"/>
          <w:b/>
          <w:bCs/>
          <w:sz w:val="20"/>
          <w:szCs w:val="20"/>
        </w:rPr>
        <w:t>udržitelnou investicí</w:t>
      </w:r>
      <w:r w:rsidRPr="00C543A9">
        <w:rPr>
          <w:rFonts w:cstheme="minorHAnsi"/>
          <w:sz w:val="20"/>
          <w:szCs w:val="20"/>
        </w:rPr>
        <w:t>“ investice do hospodářské činnosti, která přispívá k environmentálním cílům, jako jsou investice měřené například klíčovými ukazateli pro účinnost zdrojů ohledně využívání energie, energie z obnovitelných zdrojů,  surovin, vody a půdy, produkce odpadů, emisí skleníkových plynů, nebo ukazateli jejího dopadu na biologickou  rozmanitost a oběhové hospodářství, nebo investice do hospodářské činnosti, která přispívá k sociálním cílům, zejména investice, která přispívá k řešení nerovnosti, nebo investice podporující sociální soudržnost, sociální integraci a pracovněprávní vztahy nebo investice do lidského kapitálu nebo hospodářsky či sociálně znevýhodněných komunit, za předpokladu, že tyto investice významně nepoškozují žádný z uvedených cílů a společnosti, do nichž je investováno, dodržují postupy řádné správy a řízení, zejména ohledně řádných struktur řízení, vztahů se zaměstnanci, odměňování příslušných zaměstnanců a dodržování daňových předpisů;</w:t>
      </w:r>
    </w:p>
    <w:p w14:paraId="55E9DC82" w14:textId="77777777" w:rsidR="00A05373" w:rsidRPr="007B54D9" w:rsidRDefault="00A05373" w:rsidP="00C543A9">
      <w:pPr>
        <w:pStyle w:val="ListParagraph"/>
        <w:spacing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„</w:t>
      </w:r>
      <w:r w:rsidRPr="007B54D9">
        <w:rPr>
          <w:rFonts w:cstheme="minorHAnsi"/>
          <w:b/>
          <w:bCs/>
          <w:sz w:val="20"/>
          <w:szCs w:val="20"/>
        </w:rPr>
        <w:t>rizikem týkajícím se udržitelnosti</w:t>
      </w:r>
      <w:r w:rsidRPr="007B54D9">
        <w:rPr>
          <w:rFonts w:cstheme="minorHAnsi"/>
          <w:sz w:val="20"/>
          <w:szCs w:val="20"/>
        </w:rPr>
        <w:t>“ událost nebo situace v environmentální nebo sociální oblasti nebo v oblasti správy a řízení, která by v případě, že by nastala, mohla mít skutečný nebo možný významný nepříznivý dopad na hodnotu investice;</w:t>
      </w:r>
    </w:p>
    <w:p w14:paraId="4503CF05" w14:textId="7AC9D716" w:rsidR="00A05373" w:rsidRPr="00835EDC" w:rsidRDefault="00A05373" w:rsidP="00C543A9">
      <w:pPr>
        <w:pStyle w:val="ListParagraph"/>
        <w:spacing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„</w:t>
      </w:r>
      <w:r w:rsidRPr="007B54D9">
        <w:rPr>
          <w:rFonts w:cstheme="minorHAnsi"/>
          <w:b/>
          <w:bCs/>
          <w:sz w:val="20"/>
          <w:szCs w:val="20"/>
        </w:rPr>
        <w:t>faktory udržitelnosti</w:t>
      </w:r>
      <w:r w:rsidRPr="007B54D9">
        <w:rPr>
          <w:rFonts w:cstheme="minorHAnsi"/>
          <w:sz w:val="20"/>
          <w:szCs w:val="20"/>
        </w:rPr>
        <w:t xml:space="preserve">“ environmentální, sociální a zaměstnanecké otázky, dodržování lidských práv a otázky boje proti </w:t>
      </w:r>
      <w:r w:rsidRPr="00835EDC">
        <w:rPr>
          <w:rFonts w:cstheme="minorHAnsi"/>
          <w:sz w:val="20"/>
          <w:szCs w:val="20"/>
        </w:rPr>
        <w:t>korupci a úplatkářství.</w:t>
      </w:r>
    </w:p>
    <w:p w14:paraId="3DD0732D" w14:textId="4EC4AB9E" w:rsidR="009F18BE" w:rsidRPr="00835EDC" w:rsidRDefault="005550DC" w:rsidP="002402E7">
      <w:pPr>
        <w:pStyle w:val="Heading1"/>
        <w:numPr>
          <w:ilvl w:val="0"/>
          <w:numId w:val="3"/>
        </w:numPr>
        <w:spacing w:after="24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35EDC">
        <w:rPr>
          <w:rFonts w:asciiTheme="minorHAnsi" w:hAnsiTheme="minorHAnsi" w:cstheme="minorHAnsi"/>
          <w:b/>
          <w:bCs/>
          <w:color w:val="auto"/>
          <w:sz w:val="20"/>
          <w:szCs w:val="20"/>
        </w:rPr>
        <w:t>I</w:t>
      </w:r>
      <w:r w:rsidR="00727D51" w:rsidRPr="00835ED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nvestiční poradenství </w:t>
      </w:r>
    </w:p>
    <w:p w14:paraId="7EF71CE7" w14:textId="43A315DD" w:rsidR="007B54D9" w:rsidRPr="00835EDC" w:rsidRDefault="00A05373" w:rsidP="002402E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35EDC">
        <w:rPr>
          <w:rFonts w:cstheme="minorHAnsi"/>
          <w:sz w:val="20"/>
          <w:szCs w:val="20"/>
        </w:rPr>
        <w:t xml:space="preserve">Společnost je </w:t>
      </w:r>
      <w:r w:rsidR="00C179D5" w:rsidRPr="00835EDC">
        <w:rPr>
          <w:rFonts w:cstheme="minorHAnsi"/>
          <w:sz w:val="20"/>
          <w:szCs w:val="20"/>
        </w:rPr>
        <w:t>investičním zprostředkovatelem</w:t>
      </w:r>
      <w:r w:rsidRPr="00835EDC">
        <w:rPr>
          <w:rFonts w:cstheme="minorHAnsi"/>
          <w:sz w:val="20"/>
          <w:szCs w:val="20"/>
        </w:rPr>
        <w:t xml:space="preserve"> poskytujícím investiční poradenství</w:t>
      </w:r>
      <w:r w:rsidR="000F7EB5" w:rsidRPr="00835EDC">
        <w:rPr>
          <w:rFonts w:cstheme="minorHAnsi"/>
          <w:sz w:val="20"/>
          <w:szCs w:val="20"/>
        </w:rPr>
        <w:t>,</w:t>
      </w:r>
      <w:r w:rsidRPr="00835EDC">
        <w:rPr>
          <w:rFonts w:cstheme="minorHAnsi"/>
          <w:sz w:val="20"/>
          <w:szCs w:val="20"/>
        </w:rPr>
        <w:t xml:space="preserve"> a je tak povinna zveřejnit na svých internetových stránkách informace</w:t>
      </w:r>
      <w:r w:rsidR="007B54D9" w:rsidRPr="00835EDC">
        <w:rPr>
          <w:rFonts w:cstheme="minorHAnsi"/>
          <w:sz w:val="20"/>
          <w:szCs w:val="20"/>
        </w:rPr>
        <w:t>:</w:t>
      </w:r>
    </w:p>
    <w:p w14:paraId="320B2E3C" w14:textId="37ACAAAB" w:rsidR="00DF5823" w:rsidRPr="00835EDC" w:rsidRDefault="008948BC" w:rsidP="007B54D9">
      <w:pPr>
        <w:pStyle w:val="ListParagraph"/>
        <w:numPr>
          <w:ilvl w:val="0"/>
          <w:numId w:val="12"/>
        </w:numPr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  <w:r w:rsidRPr="00835EDC">
        <w:rPr>
          <w:rFonts w:cstheme="minorHAnsi"/>
          <w:b/>
          <w:bCs/>
          <w:sz w:val="20"/>
          <w:szCs w:val="20"/>
        </w:rPr>
        <w:t>O</w:t>
      </w:r>
      <w:r w:rsidR="00DF5823" w:rsidRPr="00835EDC">
        <w:rPr>
          <w:rFonts w:cstheme="minorHAnsi"/>
          <w:b/>
          <w:bCs/>
          <w:sz w:val="20"/>
          <w:szCs w:val="20"/>
        </w:rPr>
        <w:t xml:space="preserve"> </w:t>
      </w:r>
      <w:r w:rsidR="00A05373" w:rsidRPr="00835EDC">
        <w:rPr>
          <w:rFonts w:cstheme="minorHAnsi"/>
          <w:b/>
          <w:bCs/>
          <w:sz w:val="20"/>
          <w:szCs w:val="20"/>
        </w:rPr>
        <w:t xml:space="preserve">svých politikách začleňování rizik týkajících se udržitelnosti do </w:t>
      </w:r>
      <w:r w:rsidR="003A0B18" w:rsidRPr="00835EDC">
        <w:rPr>
          <w:rFonts w:cstheme="minorHAnsi"/>
          <w:b/>
          <w:bCs/>
          <w:sz w:val="20"/>
          <w:szCs w:val="20"/>
        </w:rPr>
        <w:t xml:space="preserve">jejího </w:t>
      </w:r>
      <w:r w:rsidR="00A05373" w:rsidRPr="00835EDC">
        <w:rPr>
          <w:rFonts w:cstheme="minorHAnsi"/>
          <w:b/>
          <w:bCs/>
          <w:sz w:val="20"/>
          <w:szCs w:val="20"/>
        </w:rPr>
        <w:t>investičního poradenství</w:t>
      </w:r>
    </w:p>
    <w:p w14:paraId="6731B7D1" w14:textId="77777777" w:rsidR="008948BC" w:rsidRPr="00835EDC" w:rsidRDefault="008948BC" w:rsidP="00C543A9">
      <w:pPr>
        <w:pStyle w:val="ListParagraph"/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</w:p>
    <w:p w14:paraId="6630E575" w14:textId="25CD747E" w:rsidR="00131DFA" w:rsidRPr="00835EDC" w:rsidRDefault="00131DFA" w:rsidP="00131DFA">
      <w:pPr>
        <w:pStyle w:val="ListParagraph"/>
        <w:spacing w:after="120" w:line="240" w:lineRule="auto"/>
        <w:ind w:left="363"/>
        <w:jc w:val="both"/>
        <w:rPr>
          <w:rFonts w:cstheme="minorHAnsi"/>
          <w:i/>
          <w:iCs/>
          <w:sz w:val="20"/>
          <w:szCs w:val="20"/>
        </w:rPr>
      </w:pPr>
      <w:r w:rsidRPr="00835EDC">
        <w:rPr>
          <w:rFonts w:cstheme="minorHAnsi"/>
          <w:i/>
          <w:iCs/>
          <w:sz w:val="20"/>
          <w:szCs w:val="20"/>
        </w:rPr>
        <w:t>Rizika týkající se udržitelnosti, tj. možné negativní dopady konkrétních jevů v oblasti životního prostředí, sociálních záruk nebo správy a řízení společností (</w:t>
      </w:r>
      <w:proofErr w:type="spellStart"/>
      <w:r w:rsidRPr="00835EDC">
        <w:rPr>
          <w:rFonts w:cstheme="minorHAnsi"/>
          <w:i/>
          <w:iCs/>
          <w:sz w:val="20"/>
          <w:szCs w:val="20"/>
        </w:rPr>
        <w:t>corporate</w:t>
      </w:r>
      <w:proofErr w:type="spellEnd"/>
      <w:r w:rsidRPr="00835ED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35EDC">
        <w:rPr>
          <w:rFonts w:cstheme="minorHAnsi"/>
          <w:i/>
          <w:iCs/>
          <w:sz w:val="20"/>
          <w:szCs w:val="20"/>
        </w:rPr>
        <w:t>governance</w:t>
      </w:r>
      <w:proofErr w:type="spellEnd"/>
      <w:r w:rsidRPr="00835EDC">
        <w:rPr>
          <w:rFonts w:cstheme="minorHAnsi"/>
          <w:i/>
          <w:iCs/>
          <w:sz w:val="20"/>
          <w:szCs w:val="20"/>
        </w:rPr>
        <w:t>) na hodnotu investice, jsou zohledňována již v investičních rozhodnutích na stráně tvůrců investičních nástrojů.</w:t>
      </w:r>
      <w:r w:rsidRPr="00835EDC">
        <w:rPr>
          <w:rStyle w:val="FootnoteReference"/>
          <w:rFonts w:cstheme="minorHAnsi"/>
          <w:i/>
          <w:iCs/>
          <w:sz w:val="20"/>
          <w:szCs w:val="20"/>
        </w:rPr>
        <w:footnoteReference w:id="1"/>
      </w:r>
      <w:r w:rsidRPr="00835EDC">
        <w:rPr>
          <w:rFonts w:cstheme="minorHAnsi"/>
          <w:i/>
          <w:iCs/>
          <w:sz w:val="20"/>
          <w:szCs w:val="20"/>
        </w:rPr>
        <w:t xml:space="preserve"> </w:t>
      </w:r>
      <w:r w:rsidR="003A0B18" w:rsidRPr="00835EDC">
        <w:rPr>
          <w:rFonts w:cstheme="minorHAnsi"/>
          <w:i/>
          <w:iCs/>
          <w:sz w:val="20"/>
          <w:szCs w:val="20"/>
        </w:rPr>
        <w:t xml:space="preserve">O výsledku posouzení pravděpodobných dopadů rizik týkajících se udržitelnosti na návratnost doporučovaného investičního nástroje je Společnost schopna zákazníka informovat až v rámci poskytování investičního poradenství. </w:t>
      </w:r>
      <w:r w:rsidRPr="00835EDC">
        <w:rPr>
          <w:rFonts w:cstheme="minorHAnsi"/>
          <w:i/>
          <w:iCs/>
          <w:sz w:val="20"/>
          <w:szCs w:val="20"/>
        </w:rPr>
        <w:t>Pracovníci Společnosti zohledňují rizika týkající se udržitelnosti společně s dalšími riziky (tržní riziko, úvěrové riziko aj.)</w:t>
      </w:r>
      <w:r w:rsidR="00272699" w:rsidRPr="00835EDC">
        <w:rPr>
          <w:rFonts w:cstheme="minorHAnsi"/>
          <w:i/>
          <w:iCs/>
          <w:sz w:val="20"/>
          <w:szCs w:val="20"/>
        </w:rPr>
        <w:t xml:space="preserve"> </w:t>
      </w:r>
      <w:r w:rsidRPr="00835EDC">
        <w:rPr>
          <w:rFonts w:cstheme="minorHAnsi"/>
          <w:i/>
          <w:iCs/>
          <w:sz w:val="20"/>
          <w:szCs w:val="20"/>
        </w:rPr>
        <w:t xml:space="preserve">v poradenském procesu, a to vždy ve vztahu ke konkrétním potřebám a požadavkům zákazníka, včetně preferencí </w:t>
      </w:r>
      <w:r w:rsidR="002C4C7D" w:rsidRPr="00835EDC">
        <w:rPr>
          <w:rFonts w:cstheme="minorHAnsi"/>
          <w:i/>
          <w:iCs/>
          <w:sz w:val="20"/>
          <w:szCs w:val="20"/>
        </w:rPr>
        <w:t xml:space="preserve">zákazníka </w:t>
      </w:r>
      <w:r w:rsidRPr="00835EDC">
        <w:rPr>
          <w:rFonts w:cstheme="minorHAnsi"/>
          <w:i/>
          <w:iCs/>
          <w:sz w:val="20"/>
          <w:szCs w:val="20"/>
        </w:rPr>
        <w:t>týkajících se udržitelnosti</w:t>
      </w:r>
      <w:r w:rsidR="00272699" w:rsidRPr="00835EDC">
        <w:rPr>
          <w:rFonts w:cstheme="minorHAnsi"/>
          <w:i/>
          <w:iCs/>
          <w:sz w:val="20"/>
          <w:szCs w:val="20"/>
        </w:rPr>
        <w:t>.</w:t>
      </w:r>
    </w:p>
    <w:p w14:paraId="08D41965" w14:textId="7CDF9E34" w:rsidR="003A0B18" w:rsidRPr="00835EDC" w:rsidRDefault="003A0B18" w:rsidP="00C543A9">
      <w:pPr>
        <w:pStyle w:val="ListParagraph"/>
        <w:spacing w:after="120" w:line="240" w:lineRule="auto"/>
        <w:ind w:left="363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835EDC">
        <w:rPr>
          <w:rFonts w:cstheme="minorHAnsi"/>
          <w:i/>
          <w:iCs/>
          <w:sz w:val="20"/>
          <w:szCs w:val="20"/>
        </w:rPr>
        <w:t>Obecně a předem lze zákazníky pouze informovat o tom, že návratnost jakékoliv investice může být negativně ovlivněna také událostí nebo situací v environmentální nebo sociální oblasti nebo v oblasti správy a řízení.</w:t>
      </w:r>
    </w:p>
    <w:p w14:paraId="1AD1D1BF" w14:textId="0A593991" w:rsidR="003A0B18" w:rsidRPr="00835EDC" w:rsidRDefault="008948BC">
      <w:pPr>
        <w:pStyle w:val="ListParagraph"/>
        <w:numPr>
          <w:ilvl w:val="0"/>
          <w:numId w:val="12"/>
        </w:numPr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  <w:r w:rsidRPr="00835EDC">
        <w:rPr>
          <w:rFonts w:cstheme="minorHAnsi"/>
          <w:b/>
          <w:bCs/>
          <w:sz w:val="20"/>
          <w:szCs w:val="20"/>
        </w:rPr>
        <w:t>O</w:t>
      </w:r>
      <w:r w:rsidR="00DF5823" w:rsidRPr="00835EDC">
        <w:rPr>
          <w:rFonts w:cstheme="minorHAnsi"/>
          <w:b/>
          <w:bCs/>
          <w:sz w:val="20"/>
          <w:szCs w:val="20"/>
        </w:rPr>
        <w:t xml:space="preserve"> </w:t>
      </w:r>
      <w:r w:rsidR="005061D4" w:rsidRPr="00835EDC">
        <w:rPr>
          <w:rFonts w:cstheme="minorHAnsi"/>
          <w:b/>
          <w:bCs/>
          <w:sz w:val="20"/>
          <w:szCs w:val="20"/>
        </w:rPr>
        <w:t>tom, zda ve svém investičním poradenství zohledňuje hlavní nepříznivé dopady</w:t>
      </w:r>
      <w:r w:rsidR="00DF5823" w:rsidRPr="00835EDC">
        <w:rPr>
          <w:rFonts w:cstheme="minorHAnsi"/>
          <w:b/>
          <w:bCs/>
          <w:sz w:val="20"/>
          <w:szCs w:val="20"/>
        </w:rPr>
        <w:t xml:space="preserve"> investičních rozhodnutí</w:t>
      </w:r>
      <w:r w:rsidR="005061D4" w:rsidRPr="00835EDC">
        <w:rPr>
          <w:rFonts w:cstheme="minorHAnsi"/>
          <w:b/>
          <w:bCs/>
          <w:sz w:val="20"/>
          <w:szCs w:val="20"/>
        </w:rPr>
        <w:t xml:space="preserve"> na faktory udržitelnosti</w:t>
      </w:r>
    </w:p>
    <w:p w14:paraId="1470CD1E" w14:textId="77777777" w:rsidR="008948BC" w:rsidRPr="00835EDC" w:rsidRDefault="008948BC" w:rsidP="00C543A9">
      <w:pPr>
        <w:pStyle w:val="ListParagraph"/>
        <w:spacing w:after="120" w:line="240" w:lineRule="auto"/>
        <w:ind w:left="364"/>
        <w:jc w:val="both"/>
        <w:rPr>
          <w:rFonts w:cstheme="minorHAnsi"/>
          <w:b/>
          <w:bCs/>
          <w:sz w:val="20"/>
          <w:szCs w:val="20"/>
        </w:rPr>
      </w:pPr>
    </w:p>
    <w:p w14:paraId="30C94B13" w14:textId="7753A8FE" w:rsidR="00246EF9" w:rsidRPr="007133F6" w:rsidRDefault="00DF5823" w:rsidP="007133F6">
      <w:pPr>
        <w:pStyle w:val="ListParagraph"/>
        <w:spacing w:after="120" w:line="240" w:lineRule="auto"/>
        <w:ind w:left="364"/>
        <w:rPr>
          <w:rFonts w:cstheme="minorHAnsi"/>
          <w:sz w:val="20"/>
          <w:szCs w:val="20"/>
          <w:highlight w:val="yellow"/>
        </w:rPr>
      </w:pPr>
      <w:r w:rsidRPr="007133F6">
        <w:rPr>
          <w:rFonts w:cstheme="minorHAnsi"/>
          <w:sz w:val="20"/>
          <w:szCs w:val="20"/>
        </w:rPr>
        <w:lastRenderedPageBreak/>
        <w:t xml:space="preserve">Společnost uveřejňuje </w:t>
      </w:r>
      <w:r w:rsidR="003A0B18" w:rsidRPr="007133F6">
        <w:rPr>
          <w:rFonts w:cstheme="minorHAnsi"/>
          <w:sz w:val="20"/>
          <w:szCs w:val="20"/>
        </w:rPr>
        <w:t xml:space="preserve">tyto informace </w:t>
      </w:r>
      <w:r w:rsidRPr="007133F6">
        <w:rPr>
          <w:rFonts w:cstheme="minorHAnsi"/>
          <w:sz w:val="20"/>
          <w:szCs w:val="20"/>
        </w:rPr>
        <w:t xml:space="preserve">prostřednictvím </w:t>
      </w:r>
      <w:r w:rsidR="003A0B18" w:rsidRPr="007133F6">
        <w:rPr>
          <w:rFonts w:cstheme="minorHAnsi"/>
          <w:sz w:val="20"/>
          <w:szCs w:val="20"/>
        </w:rPr>
        <w:t>vyhrazeného</w:t>
      </w:r>
      <w:r w:rsidRPr="007133F6">
        <w:rPr>
          <w:rFonts w:cstheme="minorHAnsi"/>
          <w:sz w:val="20"/>
          <w:szCs w:val="20"/>
        </w:rPr>
        <w:t xml:space="preserve"> oddílu webových stránek</w:t>
      </w:r>
      <w:r w:rsidR="007133F6" w:rsidRPr="007133F6">
        <w:rPr>
          <w:rFonts w:cstheme="minorHAnsi"/>
          <w:sz w:val="20"/>
          <w:szCs w:val="20"/>
        </w:rPr>
        <w:t xml:space="preserve"> </w:t>
      </w:r>
      <w:r w:rsidR="007133F6" w:rsidRPr="007133F6">
        <w:rPr>
          <w:rFonts w:cstheme="minorHAnsi"/>
          <w:b/>
          <w:bCs/>
          <w:i/>
          <w:iCs/>
          <w:sz w:val="20"/>
          <w:szCs w:val="20"/>
        </w:rPr>
        <w:t>https://www.imperium-finance.cz/dokumenty</w:t>
      </w:r>
    </w:p>
    <w:p w14:paraId="56C58CC3" w14:textId="77777777" w:rsidR="003A0B18" w:rsidRPr="00C543A9" w:rsidRDefault="003A0B18" w:rsidP="00C543A9">
      <w:pPr>
        <w:pStyle w:val="ListParagraph"/>
        <w:spacing w:after="120" w:line="240" w:lineRule="auto"/>
        <w:ind w:left="364"/>
        <w:jc w:val="both"/>
        <w:rPr>
          <w:rFonts w:cstheme="minorHAnsi"/>
          <w:sz w:val="20"/>
          <w:szCs w:val="20"/>
          <w:highlight w:val="green"/>
        </w:rPr>
      </w:pPr>
    </w:p>
    <w:p w14:paraId="71C0B357" w14:textId="08EB3F42" w:rsidR="00630792" w:rsidRPr="00C543A9" w:rsidRDefault="003442F9" w:rsidP="002402E7">
      <w:pPr>
        <w:pStyle w:val="Heading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543A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Střet zájmů</w:t>
      </w:r>
    </w:p>
    <w:p w14:paraId="187B55A3" w14:textId="60A9A83B" w:rsidR="00CC0CD3" w:rsidRPr="00C543A9" w:rsidRDefault="00CC0CD3" w:rsidP="00C543A9">
      <w:pPr>
        <w:jc w:val="both"/>
        <w:rPr>
          <w:sz w:val="20"/>
          <w:szCs w:val="20"/>
        </w:rPr>
      </w:pPr>
      <w:r w:rsidRPr="00C543A9">
        <w:rPr>
          <w:sz w:val="20"/>
          <w:szCs w:val="20"/>
        </w:rPr>
        <w:t xml:space="preserve">Společnost se při </w:t>
      </w:r>
      <w:r w:rsidR="00952D40" w:rsidRPr="00835EDC">
        <w:rPr>
          <w:sz w:val="20"/>
          <w:szCs w:val="20"/>
        </w:rPr>
        <w:t>poskytování investičního poradenství</w:t>
      </w:r>
      <w:r w:rsidRPr="00835EDC">
        <w:rPr>
          <w:sz w:val="20"/>
          <w:szCs w:val="20"/>
        </w:rPr>
        <w:t xml:space="preserve"> řídí pravidly pro zjišťování a řízení střetu zájmů. Cílem pravidel řízení střetu zájmů je při </w:t>
      </w:r>
      <w:r w:rsidR="00952D40" w:rsidRPr="00835EDC">
        <w:rPr>
          <w:sz w:val="20"/>
          <w:szCs w:val="20"/>
        </w:rPr>
        <w:t xml:space="preserve">poskytování investičního poradenství </w:t>
      </w:r>
      <w:r w:rsidRPr="00835EDC">
        <w:rPr>
          <w:sz w:val="20"/>
          <w:szCs w:val="20"/>
        </w:rPr>
        <w:t>efektivně</w:t>
      </w:r>
      <w:r w:rsidRPr="00C543A9">
        <w:rPr>
          <w:sz w:val="20"/>
          <w:szCs w:val="20"/>
        </w:rPr>
        <w:t xml:space="preserve"> zjišťovat a řídit střety zájmů, aby v jejich důsledku nedocházelo k poškozování zájmů zákazníků, včetně jejich případných </w:t>
      </w:r>
      <w:r>
        <w:rPr>
          <w:sz w:val="20"/>
          <w:szCs w:val="20"/>
        </w:rPr>
        <w:t>p</w:t>
      </w:r>
      <w:r w:rsidRPr="00C543A9">
        <w:rPr>
          <w:sz w:val="20"/>
          <w:szCs w:val="20"/>
        </w:rPr>
        <w:t>referencí týkajících se udržitelnosti.</w:t>
      </w:r>
      <w:r>
        <w:rPr>
          <w:sz w:val="20"/>
          <w:szCs w:val="20"/>
        </w:rPr>
        <w:t xml:space="preserve"> Podrobnější informace o pravidlech řízení střetu zájmů jsou uvedeny zde </w:t>
      </w:r>
      <w:r w:rsidR="007133F6" w:rsidRPr="007133F6">
        <w:rPr>
          <w:rFonts w:cstheme="minorHAnsi"/>
          <w:b/>
          <w:bCs/>
          <w:i/>
          <w:iCs/>
          <w:sz w:val="20"/>
          <w:szCs w:val="20"/>
        </w:rPr>
        <w:t>https://www.imperium-finance.cz/dokumenty</w:t>
      </w:r>
      <w:r w:rsidR="007133F6" w:rsidRPr="007133F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7133F6" w:rsidRPr="007133F6">
        <w:rPr>
          <w:rFonts w:cstheme="minorHAnsi"/>
          <w:sz w:val="20"/>
          <w:szCs w:val="20"/>
        </w:rPr>
        <w:t>v dokumentu</w:t>
      </w:r>
      <w:r w:rsidR="007133F6">
        <w:rPr>
          <w:rFonts w:cstheme="minorHAnsi"/>
          <w:i/>
          <w:iCs/>
          <w:sz w:val="20"/>
          <w:szCs w:val="20"/>
        </w:rPr>
        <w:t xml:space="preserve"> </w:t>
      </w:r>
      <w:r w:rsidR="007133F6" w:rsidRPr="007133F6">
        <w:rPr>
          <w:rFonts w:cstheme="minorHAnsi"/>
          <w:b/>
          <w:bCs/>
          <w:i/>
          <w:iCs/>
          <w:sz w:val="20"/>
          <w:szCs w:val="20"/>
        </w:rPr>
        <w:t>Střety zájmů</w:t>
      </w:r>
    </w:p>
    <w:p w14:paraId="390B6579" w14:textId="018F1AAE" w:rsidR="009F18BE" w:rsidRPr="007B54D9" w:rsidRDefault="007E167E" w:rsidP="002402E7">
      <w:pPr>
        <w:pStyle w:val="Heading1"/>
        <w:numPr>
          <w:ilvl w:val="0"/>
          <w:numId w:val="3"/>
        </w:numPr>
        <w:spacing w:after="24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Zásady odměňování </w:t>
      </w:r>
    </w:p>
    <w:p w14:paraId="287A4D89" w14:textId="3375F8F9" w:rsidR="002D22BA" w:rsidRPr="007B54D9" w:rsidRDefault="005541A4" w:rsidP="002402E7">
      <w:pPr>
        <w:spacing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>Společnost je dle Nařízení SFDR povinna zahrnout do svých zásad odměňování informace o tom, jak jsou tyto zásady konzistentní se začleňováním rizik týkajících se udržitelnosti, a tyto informace zveřejnit na svých internetových stránkách.</w:t>
      </w:r>
      <w:r w:rsidR="00222B43" w:rsidRPr="007B54D9">
        <w:rPr>
          <w:rFonts w:cstheme="minorHAnsi"/>
          <w:sz w:val="20"/>
          <w:szCs w:val="20"/>
        </w:rPr>
        <w:t xml:space="preserve"> Tuto povinnost plní Společnost prostřednictvím tohoto dokumentu.</w:t>
      </w:r>
    </w:p>
    <w:p w14:paraId="140753D2" w14:textId="2E773C52" w:rsidR="005541A4" w:rsidRPr="007B54D9" w:rsidRDefault="00222B43" w:rsidP="002402E7">
      <w:pPr>
        <w:spacing w:line="240" w:lineRule="auto"/>
        <w:jc w:val="both"/>
        <w:rPr>
          <w:rFonts w:cstheme="minorHAnsi"/>
          <w:sz w:val="20"/>
          <w:szCs w:val="20"/>
        </w:rPr>
      </w:pPr>
      <w:r w:rsidRPr="007B54D9">
        <w:rPr>
          <w:rFonts w:cstheme="minorHAnsi"/>
          <w:sz w:val="20"/>
          <w:szCs w:val="20"/>
        </w:rPr>
        <w:t xml:space="preserve">Zásady odměňování Společnosti jsou konzistentní se začleňováním rizik týkajících se udržitelnosti, jelikož </w:t>
      </w:r>
      <w:r w:rsidR="00FB0506" w:rsidRPr="007B54D9">
        <w:rPr>
          <w:rFonts w:cstheme="minorHAnsi"/>
          <w:sz w:val="20"/>
          <w:szCs w:val="20"/>
        </w:rPr>
        <w:t xml:space="preserve">při poskytování služeb zákazníkům </w:t>
      </w:r>
      <w:r w:rsidRPr="007B54D9">
        <w:rPr>
          <w:rFonts w:cstheme="minorHAnsi"/>
          <w:sz w:val="20"/>
          <w:szCs w:val="20"/>
        </w:rPr>
        <w:t>žádným způsobem ne</w:t>
      </w:r>
      <w:r w:rsidR="00FB0506" w:rsidRPr="007B54D9">
        <w:rPr>
          <w:rFonts w:cstheme="minorHAnsi"/>
          <w:sz w:val="20"/>
          <w:szCs w:val="20"/>
        </w:rPr>
        <w:t>motivují pracovníky Společnosti</w:t>
      </w:r>
      <w:r w:rsidRPr="007B54D9">
        <w:rPr>
          <w:rFonts w:cstheme="minorHAnsi"/>
          <w:sz w:val="20"/>
          <w:szCs w:val="20"/>
        </w:rPr>
        <w:t xml:space="preserve"> k nadměrnému podstupování rizik ve vztahu k rizikům týkajícím se udržitelnosti</w:t>
      </w:r>
      <w:r w:rsidR="00FB0506" w:rsidRPr="007B54D9">
        <w:rPr>
          <w:rFonts w:cstheme="minorHAnsi"/>
          <w:sz w:val="20"/>
          <w:szCs w:val="20"/>
        </w:rPr>
        <w:t>.</w:t>
      </w:r>
    </w:p>
    <w:p w14:paraId="637418B6" w14:textId="52FFF188" w:rsidR="009F18BE" w:rsidRPr="007B54D9" w:rsidRDefault="00835EDC" w:rsidP="002402E7">
      <w:pPr>
        <w:pStyle w:val="Heading1"/>
        <w:spacing w:before="360" w:after="36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D</w:t>
      </w:r>
      <w:r w:rsidR="00044B4B" w:rsidRPr="007B54D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ne </w:t>
      </w:r>
      <w:r w:rsidR="007133F6">
        <w:rPr>
          <w:rFonts w:asciiTheme="minorHAnsi" w:hAnsiTheme="minorHAnsi" w:cstheme="minorHAnsi"/>
          <w:b/>
          <w:bCs/>
          <w:color w:val="auto"/>
          <w:sz w:val="20"/>
          <w:szCs w:val="20"/>
        </w:rPr>
        <w:t>30. 9. 2024</w:t>
      </w:r>
    </w:p>
    <w:p w14:paraId="16FBAF6D" w14:textId="06FF130C" w:rsidR="00044B4B" w:rsidRPr="007B54D9" w:rsidRDefault="00044B4B" w:rsidP="002402E7">
      <w:pPr>
        <w:spacing w:line="240" w:lineRule="auto"/>
        <w:jc w:val="right"/>
        <w:rPr>
          <w:rFonts w:cstheme="minorHAnsi"/>
          <w:sz w:val="20"/>
          <w:szCs w:val="20"/>
        </w:rPr>
      </w:pPr>
    </w:p>
    <w:sectPr w:rsidR="00044B4B" w:rsidRPr="007B54D9" w:rsidSect="00230CCE">
      <w:footerReference w:type="default" r:id="rId8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D512D" w14:textId="77777777" w:rsidR="00466DAD" w:rsidRDefault="00466DAD" w:rsidP="00246EF9">
      <w:pPr>
        <w:spacing w:after="0" w:line="240" w:lineRule="auto"/>
      </w:pPr>
      <w:r>
        <w:separator/>
      </w:r>
    </w:p>
  </w:endnote>
  <w:endnote w:type="continuationSeparator" w:id="0">
    <w:p w14:paraId="07D5ECE3" w14:textId="77777777" w:rsidR="00466DAD" w:rsidRDefault="00466DAD" w:rsidP="0024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8"/>
        <w:szCs w:val="18"/>
      </w:rPr>
      <w:id w:val="194988383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BC8C71" w14:textId="77777777" w:rsidR="00CC0CD3" w:rsidRDefault="00CC0CD3" w:rsidP="00C179D5">
            <w:pPr>
              <w:pStyle w:val="Footer"/>
              <w:rPr>
                <w:rFonts w:cstheme="minorHAnsi"/>
                <w:sz w:val="18"/>
                <w:szCs w:val="18"/>
              </w:rPr>
            </w:pPr>
          </w:p>
          <w:p w14:paraId="1696E5D0" w14:textId="7565CDC6" w:rsidR="007E7046" w:rsidRPr="00C179D5" w:rsidRDefault="007E7046" w:rsidP="00C179D5">
            <w:pPr>
              <w:pStyle w:val="Footer"/>
              <w:jc w:val="right"/>
              <w:rPr>
                <w:rFonts w:cstheme="minorHAnsi"/>
                <w:sz w:val="18"/>
                <w:szCs w:val="18"/>
              </w:rPr>
            </w:pPr>
            <w:r w:rsidRPr="00C179D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C179D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D379B0" w14:textId="77777777" w:rsidR="007E7046" w:rsidRDefault="007E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4D30" w14:textId="77777777" w:rsidR="00466DAD" w:rsidRDefault="00466DAD" w:rsidP="00246EF9">
      <w:pPr>
        <w:spacing w:after="0" w:line="240" w:lineRule="auto"/>
      </w:pPr>
      <w:r>
        <w:separator/>
      </w:r>
    </w:p>
  </w:footnote>
  <w:footnote w:type="continuationSeparator" w:id="0">
    <w:p w14:paraId="6BC2E44A" w14:textId="77777777" w:rsidR="00466DAD" w:rsidRDefault="00466DAD" w:rsidP="00246EF9">
      <w:pPr>
        <w:spacing w:after="0" w:line="240" w:lineRule="auto"/>
      </w:pPr>
      <w:r>
        <w:continuationSeparator/>
      </w:r>
    </w:p>
  </w:footnote>
  <w:footnote w:id="1">
    <w:p w14:paraId="24B4F388" w14:textId="77777777" w:rsidR="00131DFA" w:rsidRDefault="00131DFA" w:rsidP="00C543A9">
      <w:pPr>
        <w:pStyle w:val="FootnoteText"/>
        <w:jc w:val="both"/>
      </w:pPr>
      <w:r w:rsidRPr="00C543A9">
        <w:rPr>
          <w:rStyle w:val="FootnoteReference"/>
          <w:sz w:val="16"/>
          <w:szCs w:val="16"/>
        </w:rPr>
        <w:footnoteRef/>
      </w:r>
      <w:r w:rsidRPr="00C543A9">
        <w:rPr>
          <w:sz w:val="16"/>
          <w:szCs w:val="16"/>
        </w:rPr>
        <w:t xml:space="preserve">   Tvůrci zpravidla uplatňují tzv. negativní a pozitivní screening. Prostřednictvím negativního screeningu mohou být vyloučeny společnosti, které podnikají v kontroverzních oborech či společnosti, které vážně porušují významné nadnárodní nebo národní předpisy, zásady či pravidla. Pozitivní screening naopak přispívá k tomu, že prostřednictvím nabízených investičních nástrojů či produktů je investováno do společností, které jsou z hlediska faktorů udržitelnosti např. v průměru lepší než ostatní subjekty ve svém odvětví, splňují některý z obecně uznávaných benchmarků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6946"/>
    <w:multiLevelType w:val="hybridMultilevel"/>
    <w:tmpl w:val="5AD8997A"/>
    <w:lvl w:ilvl="0" w:tplc="554217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A00C1"/>
    <w:multiLevelType w:val="hybridMultilevel"/>
    <w:tmpl w:val="79566314"/>
    <w:lvl w:ilvl="0" w:tplc="86B2DF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3027"/>
    <w:multiLevelType w:val="hybridMultilevel"/>
    <w:tmpl w:val="F5A6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30CC"/>
    <w:multiLevelType w:val="hybridMultilevel"/>
    <w:tmpl w:val="5F7A3A8E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C4F5ACA"/>
    <w:multiLevelType w:val="hybridMultilevel"/>
    <w:tmpl w:val="9A80C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37AB"/>
    <w:multiLevelType w:val="hybridMultilevel"/>
    <w:tmpl w:val="AC66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62419"/>
    <w:multiLevelType w:val="hybridMultilevel"/>
    <w:tmpl w:val="2D60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238B"/>
    <w:multiLevelType w:val="hybridMultilevel"/>
    <w:tmpl w:val="5F7A3A8E"/>
    <w:lvl w:ilvl="0" w:tplc="FFFFFFFF">
      <w:start w:val="1"/>
      <w:numFmt w:val="lowerLetter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5FD24F9B"/>
    <w:multiLevelType w:val="hybridMultilevel"/>
    <w:tmpl w:val="4D287396"/>
    <w:lvl w:ilvl="0" w:tplc="1C94B3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47E99"/>
    <w:multiLevelType w:val="hybridMultilevel"/>
    <w:tmpl w:val="FC92E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F36C7"/>
    <w:multiLevelType w:val="hybridMultilevel"/>
    <w:tmpl w:val="CAEC33A8"/>
    <w:lvl w:ilvl="0" w:tplc="106C4E5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70C3"/>
    <w:multiLevelType w:val="hybridMultilevel"/>
    <w:tmpl w:val="65002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133BD"/>
    <w:multiLevelType w:val="hybridMultilevel"/>
    <w:tmpl w:val="0DF61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01D6"/>
    <w:multiLevelType w:val="hybridMultilevel"/>
    <w:tmpl w:val="5F7A3A8E"/>
    <w:lvl w:ilvl="0" w:tplc="FFFFFFFF">
      <w:start w:val="1"/>
      <w:numFmt w:val="lowerLetter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015113381">
    <w:abstractNumId w:val="8"/>
  </w:num>
  <w:num w:numId="2" w16cid:durableId="1360931378">
    <w:abstractNumId w:val="0"/>
  </w:num>
  <w:num w:numId="3" w16cid:durableId="286394955">
    <w:abstractNumId w:val="2"/>
  </w:num>
  <w:num w:numId="4" w16cid:durableId="336349168">
    <w:abstractNumId w:val="6"/>
  </w:num>
  <w:num w:numId="5" w16cid:durableId="309016918">
    <w:abstractNumId w:val="12"/>
  </w:num>
  <w:num w:numId="6" w16cid:durableId="1844928770">
    <w:abstractNumId w:val="10"/>
  </w:num>
  <w:num w:numId="7" w16cid:durableId="1298224096">
    <w:abstractNumId w:val="4"/>
  </w:num>
  <w:num w:numId="8" w16cid:durableId="244925584">
    <w:abstractNumId w:val="9"/>
  </w:num>
  <w:num w:numId="9" w16cid:durableId="1822889546">
    <w:abstractNumId w:val="11"/>
  </w:num>
  <w:num w:numId="10" w16cid:durableId="1155336775">
    <w:abstractNumId w:val="1"/>
  </w:num>
  <w:num w:numId="11" w16cid:durableId="349989230">
    <w:abstractNumId w:val="5"/>
  </w:num>
  <w:num w:numId="12" w16cid:durableId="907880901">
    <w:abstractNumId w:val="3"/>
  </w:num>
  <w:num w:numId="13" w16cid:durableId="629479235">
    <w:abstractNumId w:val="13"/>
  </w:num>
  <w:num w:numId="14" w16cid:durableId="833299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F3"/>
    <w:rsid w:val="00015239"/>
    <w:rsid w:val="0004201F"/>
    <w:rsid w:val="00044B4B"/>
    <w:rsid w:val="00067BF6"/>
    <w:rsid w:val="00095ACA"/>
    <w:rsid w:val="000B7920"/>
    <w:rsid w:val="000E3C91"/>
    <w:rsid w:val="000F7EB5"/>
    <w:rsid w:val="001234B5"/>
    <w:rsid w:val="00126FC9"/>
    <w:rsid w:val="00131DFA"/>
    <w:rsid w:val="0013246D"/>
    <w:rsid w:val="00152234"/>
    <w:rsid w:val="001564CE"/>
    <w:rsid w:val="001D525F"/>
    <w:rsid w:val="00201B41"/>
    <w:rsid w:val="00222B43"/>
    <w:rsid w:val="0022498F"/>
    <w:rsid w:val="0022671D"/>
    <w:rsid w:val="00230CCE"/>
    <w:rsid w:val="002402E7"/>
    <w:rsid w:val="00246EF9"/>
    <w:rsid w:val="00267952"/>
    <w:rsid w:val="00272699"/>
    <w:rsid w:val="002730D8"/>
    <w:rsid w:val="002A500A"/>
    <w:rsid w:val="002C4C7D"/>
    <w:rsid w:val="002D22BA"/>
    <w:rsid w:val="003058BA"/>
    <w:rsid w:val="003442F9"/>
    <w:rsid w:val="003475FF"/>
    <w:rsid w:val="00362985"/>
    <w:rsid w:val="0039568D"/>
    <w:rsid w:val="003A0B18"/>
    <w:rsid w:val="003F3473"/>
    <w:rsid w:val="00431ADE"/>
    <w:rsid w:val="0044658C"/>
    <w:rsid w:val="00466DAD"/>
    <w:rsid w:val="00474411"/>
    <w:rsid w:val="00485488"/>
    <w:rsid w:val="005061D4"/>
    <w:rsid w:val="00537DB8"/>
    <w:rsid w:val="00540C07"/>
    <w:rsid w:val="0054389B"/>
    <w:rsid w:val="005541A4"/>
    <w:rsid w:val="005550DC"/>
    <w:rsid w:val="0058511A"/>
    <w:rsid w:val="005876D5"/>
    <w:rsid w:val="00591477"/>
    <w:rsid w:val="0059526E"/>
    <w:rsid w:val="00597E2E"/>
    <w:rsid w:val="005B2126"/>
    <w:rsid w:val="005B3BB7"/>
    <w:rsid w:val="005D2B4E"/>
    <w:rsid w:val="006046DC"/>
    <w:rsid w:val="00617680"/>
    <w:rsid w:val="006203CE"/>
    <w:rsid w:val="00630792"/>
    <w:rsid w:val="006517CB"/>
    <w:rsid w:val="0066430F"/>
    <w:rsid w:val="00670088"/>
    <w:rsid w:val="006B309C"/>
    <w:rsid w:val="006C2D4C"/>
    <w:rsid w:val="006C572F"/>
    <w:rsid w:val="006C7AF4"/>
    <w:rsid w:val="007133F6"/>
    <w:rsid w:val="00727D51"/>
    <w:rsid w:val="00761680"/>
    <w:rsid w:val="00767672"/>
    <w:rsid w:val="007706C6"/>
    <w:rsid w:val="00775913"/>
    <w:rsid w:val="007B01B4"/>
    <w:rsid w:val="007B54D9"/>
    <w:rsid w:val="007E167E"/>
    <w:rsid w:val="007E7046"/>
    <w:rsid w:val="00827EF1"/>
    <w:rsid w:val="00835EDC"/>
    <w:rsid w:val="008851DD"/>
    <w:rsid w:val="00887027"/>
    <w:rsid w:val="008948BC"/>
    <w:rsid w:val="008A736C"/>
    <w:rsid w:val="008C24F8"/>
    <w:rsid w:val="008E15C8"/>
    <w:rsid w:val="008E45FE"/>
    <w:rsid w:val="008F7487"/>
    <w:rsid w:val="00905F04"/>
    <w:rsid w:val="00952D40"/>
    <w:rsid w:val="009917E0"/>
    <w:rsid w:val="00996CA4"/>
    <w:rsid w:val="009C1116"/>
    <w:rsid w:val="009D6167"/>
    <w:rsid w:val="009F18BE"/>
    <w:rsid w:val="00A05373"/>
    <w:rsid w:val="00A519D0"/>
    <w:rsid w:val="00A67551"/>
    <w:rsid w:val="00AA60E2"/>
    <w:rsid w:val="00AB4664"/>
    <w:rsid w:val="00AB5689"/>
    <w:rsid w:val="00AB6F90"/>
    <w:rsid w:val="00AD0D7B"/>
    <w:rsid w:val="00AE5814"/>
    <w:rsid w:val="00B30347"/>
    <w:rsid w:val="00B34666"/>
    <w:rsid w:val="00B44421"/>
    <w:rsid w:val="00B823E5"/>
    <w:rsid w:val="00B90B8A"/>
    <w:rsid w:val="00B9264C"/>
    <w:rsid w:val="00BD3BA4"/>
    <w:rsid w:val="00C0445E"/>
    <w:rsid w:val="00C12FEA"/>
    <w:rsid w:val="00C179D5"/>
    <w:rsid w:val="00C3346C"/>
    <w:rsid w:val="00C543A9"/>
    <w:rsid w:val="00C62500"/>
    <w:rsid w:val="00C65885"/>
    <w:rsid w:val="00C7027E"/>
    <w:rsid w:val="00C7335D"/>
    <w:rsid w:val="00C84613"/>
    <w:rsid w:val="00CA7C04"/>
    <w:rsid w:val="00CC0CD3"/>
    <w:rsid w:val="00CC72C7"/>
    <w:rsid w:val="00CD5C51"/>
    <w:rsid w:val="00D466B6"/>
    <w:rsid w:val="00DC0D9E"/>
    <w:rsid w:val="00DD4DAA"/>
    <w:rsid w:val="00DD6A76"/>
    <w:rsid w:val="00DF1793"/>
    <w:rsid w:val="00DF5823"/>
    <w:rsid w:val="00E17918"/>
    <w:rsid w:val="00E231D5"/>
    <w:rsid w:val="00E46D17"/>
    <w:rsid w:val="00E563C3"/>
    <w:rsid w:val="00E93D21"/>
    <w:rsid w:val="00EA1762"/>
    <w:rsid w:val="00EB7803"/>
    <w:rsid w:val="00F05E06"/>
    <w:rsid w:val="00F13F41"/>
    <w:rsid w:val="00F21AF9"/>
    <w:rsid w:val="00F26104"/>
    <w:rsid w:val="00F352B1"/>
    <w:rsid w:val="00F406F3"/>
    <w:rsid w:val="00F801A1"/>
    <w:rsid w:val="00FA22AE"/>
    <w:rsid w:val="00FB0506"/>
    <w:rsid w:val="00FD1261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75EA3"/>
  <w15:chartTrackingRefBased/>
  <w15:docId w15:val="{CC142269-DD85-40DD-9C8E-F871A301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18BE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201B41"/>
    <w:pPr>
      <w:tabs>
        <w:tab w:val="left" w:pos="440"/>
        <w:tab w:val="right" w:leader="dot" w:pos="9062"/>
      </w:tabs>
      <w:spacing w:after="12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F9"/>
  </w:style>
  <w:style w:type="paragraph" w:styleId="Footer">
    <w:name w:val="footer"/>
    <w:basedOn w:val="Normal"/>
    <w:link w:val="FooterChar"/>
    <w:uiPriority w:val="99"/>
    <w:unhideWhenUsed/>
    <w:rsid w:val="0024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F9"/>
  </w:style>
  <w:style w:type="character" w:styleId="CommentReference">
    <w:name w:val="annotation reference"/>
    <w:basedOn w:val="DefaultParagraphFont"/>
    <w:uiPriority w:val="99"/>
    <w:semiHidden/>
    <w:unhideWhenUsed/>
    <w:rsid w:val="00C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8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6588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6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6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6B6"/>
    <w:rPr>
      <w:vertAlign w:val="superscript"/>
    </w:rPr>
  </w:style>
  <w:style w:type="paragraph" w:styleId="Revision">
    <w:name w:val="Revision"/>
    <w:hidden/>
    <w:uiPriority w:val="99"/>
    <w:semiHidden/>
    <w:rsid w:val="007B5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01B4-6AE4-4DA9-87C2-3EA5F83D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Šnajder</dc:creator>
  <cp:keywords/>
  <dc:description/>
  <cp:lastModifiedBy>Tereza Radotínská</cp:lastModifiedBy>
  <cp:revision>10</cp:revision>
  <dcterms:created xsi:type="dcterms:W3CDTF">2023-11-07T08:00:00Z</dcterms:created>
  <dcterms:modified xsi:type="dcterms:W3CDTF">2024-09-30T12:01:00Z</dcterms:modified>
</cp:coreProperties>
</file>